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B7" w:rsidRPr="00F95973" w:rsidRDefault="003C791E" w:rsidP="003C791E">
      <w:pPr>
        <w:pStyle w:val="KeinLeerraum"/>
        <w:ind w:left="7230"/>
        <w:rPr>
          <w:rFonts w:ascii="Arial" w:hAnsi="Arial" w:cs="Arial"/>
          <w:b/>
        </w:rPr>
      </w:pPr>
      <w:bookmarkStart w:id="0" w:name="_GoBack"/>
      <w:bookmarkEnd w:id="0"/>
      <w:r w:rsidRPr="00F95973">
        <w:rPr>
          <w:rFonts w:ascii="Arial" w:hAnsi="Arial" w:cs="Arial"/>
          <w:b/>
        </w:rPr>
        <w:t xml:space="preserve">Anlage </w:t>
      </w:r>
      <w:r w:rsidR="002B4237">
        <w:rPr>
          <w:rFonts w:ascii="Arial" w:hAnsi="Arial" w:cs="Arial"/>
          <w:b/>
        </w:rPr>
        <w:t>1</w:t>
      </w:r>
    </w:p>
    <w:p w:rsidR="003C791E" w:rsidRDefault="00C60210" w:rsidP="003C791E">
      <w:pPr>
        <w:pStyle w:val="KeinLeerraum"/>
        <w:ind w:left="7230"/>
        <w:rPr>
          <w:rFonts w:ascii="Arial" w:hAnsi="Arial" w:cs="Arial"/>
        </w:rPr>
      </w:pPr>
      <w:r>
        <w:rPr>
          <w:rFonts w:ascii="Arial" w:hAnsi="Arial" w:cs="Arial"/>
        </w:rPr>
        <w:t xml:space="preserve">zu Nr. 1 zu § 12 </w:t>
      </w:r>
    </w:p>
    <w:p w:rsidR="003C791E" w:rsidRDefault="003C791E" w:rsidP="003C791E">
      <w:pPr>
        <w:pStyle w:val="KeinLeerraum"/>
        <w:ind w:left="7230"/>
        <w:rPr>
          <w:rFonts w:ascii="Arial" w:hAnsi="Arial" w:cs="Arial"/>
        </w:rPr>
      </w:pPr>
    </w:p>
    <w:p w:rsidR="003C791E" w:rsidRDefault="003C791E" w:rsidP="003C791E">
      <w:pPr>
        <w:pStyle w:val="KeinLeerraum"/>
        <w:jc w:val="center"/>
        <w:rPr>
          <w:rFonts w:ascii="Arial" w:hAnsi="Arial" w:cs="Arial"/>
        </w:rPr>
      </w:pPr>
    </w:p>
    <w:p w:rsidR="00460A38" w:rsidRPr="00460A38" w:rsidRDefault="00460A38" w:rsidP="00460A38">
      <w:pPr>
        <w:pStyle w:val="KeinLeerraum"/>
        <w:jc w:val="center"/>
        <w:rPr>
          <w:rFonts w:ascii="Arial" w:hAnsi="Arial" w:cs="Arial"/>
        </w:rPr>
      </w:pPr>
      <w:r w:rsidRPr="00460A38">
        <w:rPr>
          <w:rFonts w:ascii="Arial" w:hAnsi="Arial" w:cs="Arial"/>
        </w:rPr>
        <w:t>Muster</w:t>
      </w:r>
      <w:r w:rsidR="006223C9">
        <w:rPr>
          <w:rStyle w:val="Funotenzeichen"/>
          <w:rFonts w:ascii="Arial" w:hAnsi="Arial" w:cs="Arial"/>
        </w:rPr>
        <w:footnoteReference w:id="1"/>
      </w:r>
      <w:r w:rsidRPr="00460A38">
        <w:rPr>
          <w:rFonts w:ascii="Arial" w:hAnsi="Arial" w:cs="Arial"/>
        </w:rPr>
        <w:t xml:space="preserve"> zur Berechnung jährlicher Folgekosten</w:t>
      </w:r>
    </w:p>
    <w:p w:rsidR="00460A38" w:rsidRDefault="00460A38" w:rsidP="00460A38">
      <w:pPr>
        <w:pStyle w:val="KeinLeerraum"/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983"/>
        <w:gridCol w:w="5384"/>
        <w:gridCol w:w="2551"/>
      </w:tblGrid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  <w:b/>
                <w:bCs/>
              </w:rPr>
            </w:pPr>
            <w:r w:rsidRPr="00CF3D42"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KVKR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  <w:b/>
                <w:bCs/>
              </w:rPr>
            </w:pPr>
            <w:r w:rsidRPr="00CF3D42">
              <w:rPr>
                <w:rFonts w:ascii="Arial" w:hAnsi="Arial" w:cs="Arial"/>
                <w:b/>
                <w:bCs/>
              </w:rPr>
              <w:t>Kostenart/Erlösart</w:t>
            </w:r>
          </w:p>
        </w:tc>
        <w:tc>
          <w:tcPr>
            <w:tcW w:w="2551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  <w:b/>
                <w:bCs/>
              </w:rPr>
              <w:t>jährliche Folgekosten</w:t>
            </w:r>
            <w:r w:rsidRPr="00CF3D42">
              <w:rPr>
                <w:rFonts w:ascii="Arial" w:hAnsi="Arial" w:cs="Arial"/>
                <w:b/>
                <w:bCs/>
              </w:rPr>
              <w:br/>
              <w:t>in Euro</w:t>
            </w:r>
          </w:p>
        </w:tc>
      </w:tr>
      <w:tr w:rsidR="0077091C" w:rsidRPr="00CF3D42" w:rsidTr="00CF3D42">
        <w:trPr>
          <w:trHeight w:val="6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60 - 61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Aufwendungen für Material, Energie und sonstige verwaltungswirtschaftliche Tätigkeit sowie Aufwendungen für bezogene Leistungen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9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62, 63, 640-643, 647-649, 65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Personalaufwendungen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67-69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Aufwendungen für sonstige Sach- und Dienstleistungen, soweit nicht Hauptkonto 670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4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670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Aufwendungen für Miet-, Leasing-, Erbbauzinsen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71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  <w:iCs/>
              </w:rPr>
            </w:pPr>
            <w:r w:rsidRPr="00CF3D42">
              <w:rPr>
                <w:rFonts w:ascii="Arial" w:hAnsi="Arial" w:cs="Arial"/>
                <w:iCs/>
              </w:rPr>
              <w:t>Aufwendungen für Zuweisungen und Zuschüsse sowie besondere Finanzaufwendungen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72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  <w:iCs/>
              </w:rPr>
            </w:pPr>
            <w:r w:rsidRPr="00CF3D42">
              <w:rPr>
                <w:rFonts w:ascii="Arial" w:hAnsi="Arial" w:cs="Arial"/>
                <w:iCs/>
              </w:rPr>
              <w:t>Aufwendungen für sonstige Leistungen an Dritte (Transferleistungen)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7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  <w:iCs/>
              </w:rPr>
            </w:pPr>
            <w:r w:rsidRPr="00CF3D42">
              <w:rPr>
                <w:rFonts w:ascii="Arial" w:hAnsi="Arial" w:cs="Arial"/>
                <w:iCs/>
              </w:rPr>
              <w:t>73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  <w:iCs/>
              </w:rPr>
            </w:pPr>
            <w:r w:rsidRPr="00CF3D42">
              <w:rPr>
                <w:rFonts w:ascii="Arial" w:hAnsi="Arial" w:cs="Arial"/>
                <w:iCs/>
              </w:rPr>
              <w:t>Steueraufwendungen einschließlich Aufwendungen aus gesetzlichen Umlageverpflichtungen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8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  <w:iCs/>
              </w:rPr>
            </w:pPr>
            <w:r w:rsidRPr="00CF3D42">
              <w:rPr>
                <w:rFonts w:ascii="Arial" w:hAnsi="Arial" w:cs="Arial"/>
                <w:iCs/>
              </w:rPr>
              <w:t>70, 74, 76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  <w:iCs/>
              </w:rPr>
            </w:pPr>
            <w:r w:rsidRPr="00CF3D42">
              <w:rPr>
                <w:rFonts w:ascii="Arial" w:hAnsi="Arial" w:cs="Arial"/>
                <w:iCs/>
              </w:rPr>
              <w:t>Sonstige ordentliche Aufwendungen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9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66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Kalkulatorische Abschreibung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10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D92AAB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9</w:t>
            </w: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Kalkulatorische Zinsen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F2F2F2"/>
            <w:hideMark/>
          </w:tcPr>
          <w:p w:rsidR="0077091C" w:rsidRPr="00CF3D42" w:rsidRDefault="00D92AAB" w:rsidP="00CF3D42">
            <w:pPr>
              <w:pStyle w:val="KeinLeerrau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D42">
              <w:rPr>
                <w:rFonts w:ascii="Arial" w:hAnsi="Arial" w:cs="Arial"/>
                <w:b/>
                <w:bCs/>
                <w:i/>
                <w:iCs/>
              </w:rPr>
              <w:t>∑</w:t>
            </w:r>
          </w:p>
        </w:tc>
        <w:tc>
          <w:tcPr>
            <w:tcW w:w="983" w:type="dxa"/>
            <w:shd w:val="clear" w:color="auto" w:fill="F2F2F2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D4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384" w:type="dxa"/>
            <w:shd w:val="clear" w:color="auto" w:fill="F2F2F2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  <w:b/>
                <w:bCs/>
                <w:i/>
                <w:iCs/>
              </w:rPr>
            </w:pPr>
            <w:r w:rsidRPr="00CF3D42">
              <w:rPr>
                <w:rFonts w:ascii="Arial" w:hAnsi="Arial" w:cs="Arial"/>
                <w:b/>
                <w:bCs/>
                <w:i/>
                <w:iCs/>
              </w:rPr>
              <w:t>Summe der jährlichen Folgekosten (Bruttokosten)</w:t>
            </w:r>
          </w:p>
        </w:tc>
        <w:tc>
          <w:tcPr>
            <w:tcW w:w="2551" w:type="dxa"/>
            <w:shd w:val="clear" w:color="auto" w:fill="F2F2F2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auto"/>
            <w:hideMark/>
          </w:tcPr>
          <w:p w:rsidR="0077091C" w:rsidRPr="00CF3D42" w:rsidRDefault="00D92AAB" w:rsidP="00CF3D42">
            <w:pPr>
              <w:pStyle w:val="KeinLeerraum"/>
              <w:jc w:val="center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11</w:t>
            </w:r>
          </w:p>
        </w:tc>
        <w:tc>
          <w:tcPr>
            <w:tcW w:w="983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5384" w:type="dxa"/>
            <w:shd w:val="clear" w:color="auto" w:fill="auto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  <w:r w:rsidRPr="00CF3D42">
              <w:rPr>
                <w:rFonts w:ascii="Arial" w:hAnsi="Arial" w:cs="Arial"/>
              </w:rPr>
              <w:t>unmittelbare Erlöse oder/und Kosteneinsparungen oder/und Kostenerstattungen</w:t>
            </w:r>
          </w:p>
        </w:tc>
        <w:tc>
          <w:tcPr>
            <w:tcW w:w="2551" w:type="dxa"/>
            <w:shd w:val="clear" w:color="auto" w:fill="auto"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7091C" w:rsidRPr="00CF3D42" w:rsidTr="00CF3D42">
        <w:trPr>
          <w:trHeight w:val="300"/>
        </w:trPr>
        <w:tc>
          <w:tcPr>
            <w:tcW w:w="829" w:type="dxa"/>
            <w:shd w:val="clear" w:color="auto" w:fill="F2F2F2"/>
            <w:hideMark/>
          </w:tcPr>
          <w:p w:rsidR="0077091C" w:rsidRPr="00CF3D42" w:rsidRDefault="00D92AAB" w:rsidP="00CF3D42">
            <w:pPr>
              <w:pStyle w:val="KeinLeerrau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D42">
              <w:rPr>
                <w:rFonts w:ascii="Arial" w:hAnsi="Arial" w:cs="Arial"/>
                <w:b/>
                <w:bCs/>
                <w:i/>
                <w:iCs/>
              </w:rPr>
              <w:t>∑</w:t>
            </w:r>
          </w:p>
        </w:tc>
        <w:tc>
          <w:tcPr>
            <w:tcW w:w="983" w:type="dxa"/>
            <w:shd w:val="clear" w:color="auto" w:fill="F2F2F2"/>
            <w:hideMark/>
          </w:tcPr>
          <w:p w:rsidR="0077091C" w:rsidRPr="00CF3D42" w:rsidRDefault="0077091C" w:rsidP="00CF3D42">
            <w:pPr>
              <w:pStyle w:val="KeinLeerrau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D4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384" w:type="dxa"/>
            <w:shd w:val="clear" w:color="auto" w:fill="F2F2F2"/>
            <w:hideMark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  <w:b/>
                <w:bCs/>
                <w:i/>
                <w:iCs/>
              </w:rPr>
            </w:pPr>
            <w:r w:rsidRPr="00CF3D42">
              <w:rPr>
                <w:rFonts w:ascii="Arial" w:hAnsi="Arial" w:cs="Arial"/>
                <w:b/>
                <w:bCs/>
                <w:i/>
                <w:iCs/>
              </w:rPr>
              <w:t>Summe der jährlichen Folgekosten (Nettokosten)</w:t>
            </w:r>
          </w:p>
        </w:tc>
        <w:tc>
          <w:tcPr>
            <w:tcW w:w="2551" w:type="dxa"/>
            <w:shd w:val="clear" w:color="auto" w:fill="F2F2F2"/>
          </w:tcPr>
          <w:p w:rsidR="0077091C" w:rsidRPr="00CF3D42" w:rsidRDefault="0077091C" w:rsidP="00CF3D4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C60210" w:rsidRPr="00460A38" w:rsidRDefault="00C60210" w:rsidP="00460A38">
      <w:pPr>
        <w:pStyle w:val="KeinLeerraum"/>
        <w:jc w:val="center"/>
        <w:rPr>
          <w:rFonts w:ascii="Arial" w:hAnsi="Arial" w:cs="Arial"/>
        </w:rPr>
      </w:pPr>
    </w:p>
    <w:p w:rsidR="00460A38" w:rsidRPr="00460A38" w:rsidRDefault="00460A38" w:rsidP="00460A38">
      <w:pPr>
        <w:pStyle w:val="KeinLeerraum"/>
        <w:jc w:val="center"/>
        <w:rPr>
          <w:rFonts w:ascii="Arial" w:hAnsi="Arial" w:cs="Arial"/>
        </w:rPr>
      </w:pPr>
    </w:p>
    <w:p w:rsidR="00460A38" w:rsidRPr="00460A38" w:rsidRDefault="00460A38" w:rsidP="00C60210">
      <w:pPr>
        <w:pStyle w:val="KeinLeerraum"/>
        <w:rPr>
          <w:rFonts w:ascii="Arial" w:hAnsi="Arial" w:cs="Arial"/>
        </w:rPr>
      </w:pPr>
      <w:r w:rsidRPr="00460A38">
        <w:rPr>
          <w:rFonts w:ascii="Arial" w:hAnsi="Arial" w:cs="Arial"/>
        </w:rPr>
        <w:t>nachrichtlich:</w:t>
      </w:r>
    </w:p>
    <w:p w:rsidR="00460A38" w:rsidRPr="00460A38" w:rsidRDefault="00460A38" w:rsidP="00C60210">
      <w:pPr>
        <w:pStyle w:val="KeinLeerraum"/>
        <w:rPr>
          <w:rFonts w:ascii="Arial" w:hAnsi="Arial" w:cs="Arial"/>
        </w:rPr>
      </w:pPr>
      <w:r w:rsidRPr="00460A38">
        <w:rPr>
          <w:rFonts w:ascii="Arial" w:hAnsi="Arial" w:cs="Arial"/>
        </w:rPr>
        <w:t xml:space="preserve">Signalwert </w:t>
      </w:r>
      <w:r w:rsidR="006223C9">
        <w:rPr>
          <w:rFonts w:ascii="Arial" w:hAnsi="Arial" w:cs="Arial"/>
        </w:rPr>
        <w:t>I:</w:t>
      </w:r>
      <w:r w:rsidR="00E56FD8">
        <w:rPr>
          <w:rFonts w:ascii="Arial" w:hAnsi="Arial" w:cs="Arial"/>
        </w:rPr>
        <w:br/>
      </w:r>
      <w:r w:rsidRPr="00460A38">
        <w:rPr>
          <w:rFonts w:ascii="Arial" w:hAnsi="Arial" w:cs="Arial"/>
        </w:rPr>
        <w:t>Be</w:t>
      </w:r>
      <w:r w:rsidR="00E56FD8">
        <w:rPr>
          <w:rFonts w:ascii="Arial" w:hAnsi="Arial" w:cs="Arial"/>
        </w:rPr>
        <w:t xml:space="preserve">rechnung </w:t>
      </w:r>
      <w:r w:rsidRPr="00460A38">
        <w:rPr>
          <w:rFonts w:ascii="Arial" w:hAnsi="Arial" w:cs="Arial"/>
        </w:rPr>
        <w:t>de</w:t>
      </w:r>
      <w:r w:rsidR="006223C9">
        <w:rPr>
          <w:rFonts w:ascii="Arial" w:hAnsi="Arial" w:cs="Arial"/>
        </w:rPr>
        <w:t>s</w:t>
      </w:r>
      <w:r w:rsidRPr="00460A38">
        <w:rPr>
          <w:rFonts w:ascii="Arial" w:hAnsi="Arial" w:cs="Arial"/>
        </w:rPr>
        <w:t xml:space="preserve"> Zeit</w:t>
      </w:r>
      <w:r w:rsidR="006223C9">
        <w:rPr>
          <w:rFonts w:ascii="Arial" w:hAnsi="Arial" w:cs="Arial"/>
        </w:rPr>
        <w:t>raums</w:t>
      </w:r>
      <w:r w:rsidRPr="00460A38">
        <w:rPr>
          <w:rFonts w:ascii="Arial" w:hAnsi="Arial" w:cs="Arial"/>
        </w:rPr>
        <w:t xml:space="preserve">, in </w:t>
      </w:r>
      <w:r w:rsidR="00E56FD8">
        <w:rPr>
          <w:rFonts w:ascii="Arial" w:hAnsi="Arial" w:cs="Arial"/>
        </w:rPr>
        <w:t xml:space="preserve">dem </w:t>
      </w:r>
      <w:r w:rsidRPr="00460A38">
        <w:rPr>
          <w:rFonts w:ascii="Arial" w:hAnsi="Arial" w:cs="Arial"/>
        </w:rPr>
        <w:t>die Folgekosten</w:t>
      </w:r>
      <w:r w:rsidR="00E56FD8">
        <w:rPr>
          <w:rFonts w:ascii="Arial" w:hAnsi="Arial" w:cs="Arial"/>
        </w:rPr>
        <w:t>,</w:t>
      </w:r>
      <w:r w:rsidRPr="00460A38">
        <w:rPr>
          <w:rFonts w:ascii="Arial" w:hAnsi="Arial" w:cs="Arial"/>
        </w:rPr>
        <w:t xml:space="preserve"> die </w:t>
      </w:r>
      <w:r w:rsidR="00E56FD8">
        <w:rPr>
          <w:rFonts w:ascii="Arial" w:hAnsi="Arial" w:cs="Arial"/>
        </w:rPr>
        <w:t xml:space="preserve">Summe der </w:t>
      </w:r>
      <w:r w:rsidR="006223C9">
        <w:rPr>
          <w:rFonts w:ascii="Arial" w:hAnsi="Arial" w:cs="Arial"/>
        </w:rPr>
        <w:t>Anschaffungs-/</w:t>
      </w:r>
      <w:r w:rsidRPr="00460A38">
        <w:rPr>
          <w:rFonts w:ascii="Arial" w:hAnsi="Arial" w:cs="Arial"/>
        </w:rPr>
        <w:t>Herstellungskosten überschreiten</w:t>
      </w:r>
      <w:r w:rsidR="00E56FD8">
        <w:rPr>
          <w:rFonts w:ascii="Arial" w:hAnsi="Arial" w:cs="Arial"/>
        </w:rPr>
        <w:t>.</w:t>
      </w:r>
    </w:p>
    <w:p w:rsidR="00460A38" w:rsidRDefault="00460A38" w:rsidP="00C60210">
      <w:pPr>
        <w:pStyle w:val="KeinLeerraum"/>
        <w:rPr>
          <w:rFonts w:ascii="Arial" w:hAnsi="Arial" w:cs="Arial"/>
        </w:rPr>
      </w:pPr>
    </w:p>
    <w:p w:rsidR="006223C9" w:rsidRDefault="006223C9" w:rsidP="00E56FD8">
      <w:pPr>
        <w:rPr>
          <w:rFonts w:ascii="Arial" w:hAnsi="Arial" w:cs="Arial"/>
        </w:rPr>
      </w:pPr>
      <w:r w:rsidRPr="00460A38">
        <w:rPr>
          <w:rFonts w:ascii="Arial" w:hAnsi="Arial" w:cs="Arial"/>
        </w:rPr>
        <w:t xml:space="preserve">Signalwert </w:t>
      </w:r>
      <w:r>
        <w:rPr>
          <w:rFonts w:ascii="Arial" w:hAnsi="Arial" w:cs="Arial"/>
        </w:rPr>
        <w:t>II:</w:t>
      </w:r>
      <w:r w:rsidR="00E56FD8">
        <w:rPr>
          <w:rFonts w:ascii="Arial" w:hAnsi="Arial" w:cs="Arial"/>
        </w:rPr>
        <w:br/>
      </w:r>
      <w:r w:rsidRPr="006223C9">
        <w:rPr>
          <w:rFonts w:ascii="Arial" w:hAnsi="Arial" w:cs="Arial"/>
        </w:rPr>
        <w:t xml:space="preserve">Jährliche Folgekosten </w:t>
      </w:r>
      <w:r w:rsidR="00E56FD8" w:rsidRPr="00E56FD8">
        <w:rPr>
          <w:rFonts w:ascii="Arial" w:hAnsi="Arial" w:cs="Arial"/>
        </w:rPr>
        <w:t>(Bruttokosten</w:t>
      </w:r>
      <w:r w:rsidR="00E56FD8">
        <w:rPr>
          <w:rFonts w:ascii="Arial" w:hAnsi="Arial" w:cs="Arial"/>
        </w:rPr>
        <w:t xml:space="preserve"> oder Nettokosten</w:t>
      </w:r>
      <w:r w:rsidR="00E56FD8" w:rsidRPr="00E56FD8">
        <w:rPr>
          <w:rFonts w:ascii="Arial" w:hAnsi="Arial" w:cs="Arial"/>
        </w:rPr>
        <w:t>)</w:t>
      </w:r>
      <w:r w:rsidR="00E56FD8">
        <w:rPr>
          <w:rFonts w:ascii="Arial" w:hAnsi="Arial" w:cs="Arial"/>
        </w:rPr>
        <w:t xml:space="preserve"> </w:t>
      </w:r>
      <w:r w:rsidRPr="006223C9">
        <w:rPr>
          <w:rFonts w:ascii="Arial" w:hAnsi="Arial" w:cs="Arial"/>
        </w:rPr>
        <w:t>entsprechen dem Aufkommen aus einer Erhöhung des Hebesatzes der Grundsteuer B</w:t>
      </w:r>
      <w:r w:rsidR="00A0264B">
        <w:rPr>
          <w:rStyle w:val="Funotenzeichen"/>
          <w:rFonts w:ascii="Arial" w:hAnsi="Arial" w:cs="Arial"/>
        </w:rPr>
        <w:footnoteReference w:id="2"/>
      </w:r>
      <w:r w:rsidRPr="006223C9">
        <w:rPr>
          <w:rFonts w:ascii="Arial" w:hAnsi="Arial" w:cs="Arial"/>
        </w:rPr>
        <w:t xml:space="preserve"> von … Punkten</w:t>
      </w:r>
      <w:r w:rsidR="00E56FD8">
        <w:rPr>
          <w:rFonts w:ascii="Arial" w:hAnsi="Arial" w:cs="Arial"/>
        </w:rPr>
        <w:t>.</w:t>
      </w:r>
    </w:p>
    <w:sectPr w:rsidR="006223C9" w:rsidSect="00C74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60" w:rsidRDefault="00667E60" w:rsidP="006223C9">
      <w:pPr>
        <w:spacing w:after="0" w:line="240" w:lineRule="auto"/>
      </w:pPr>
      <w:r>
        <w:separator/>
      </w:r>
    </w:p>
  </w:endnote>
  <w:endnote w:type="continuationSeparator" w:id="0">
    <w:p w:rsidR="00667E60" w:rsidRDefault="00667E60" w:rsidP="0062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60" w:rsidRDefault="00667E60" w:rsidP="006223C9">
      <w:pPr>
        <w:spacing w:after="0" w:line="240" w:lineRule="auto"/>
      </w:pPr>
      <w:r>
        <w:separator/>
      </w:r>
    </w:p>
  </w:footnote>
  <w:footnote w:type="continuationSeparator" w:id="0">
    <w:p w:rsidR="00667E60" w:rsidRDefault="00667E60" w:rsidP="006223C9">
      <w:pPr>
        <w:spacing w:after="0" w:line="240" w:lineRule="auto"/>
      </w:pPr>
      <w:r>
        <w:continuationSeparator/>
      </w:r>
    </w:p>
  </w:footnote>
  <w:footnote w:id="1">
    <w:p w:rsidR="006223C9" w:rsidRDefault="006223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223C9">
        <w:t xml:space="preserve">Quelle: In Anlehnung an den </w:t>
      </w:r>
      <w:r w:rsidR="004E3CDC">
        <w:t>2</w:t>
      </w:r>
      <w:r w:rsidR="009776F9">
        <w:t>7</w:t>
      </w:r>
      <w:r w:rsidRPr="006223C9">
        <w:t>. Zusammenfassender Bericht des Präsidenten des Hessischen Rechnungshofs, S.</w:t>
      </w:r>
      <w:r w:rsidR="004E3CDC">
        <w:t>188 -189</w:t>
      </w:r>
      <w:r>
        <w:t>.</w:t>
      </w:r>
    </w:p>
  </w:footnote>
  <w:footnote w:id="2">
    <w:p w:rsidR="00A0264B" w:rsidRDefault="00A0264B">
      <w:pPr>
        <w:pStyle w:val="Funotentext"/>
      </w:pPr>
      <w:r>
        <w:rPr>
          <w:rStyle w:val="Funotenzeichen"/>
        </w:rPr>
        <w:footnoteRef/>
      </w:r>
      <w:r>
        <w:t xml:space="preserve"> Bei umlagefinanzierten Körperschaften: statt der Grundsteuer B ist die Erhöhung des Hebesatzes der jeweiligen Umlage anzugeben (z.B. Kreis- oder Schulumlage, Zweckverbandsumlage etc.)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91E"/>
    <w:rsid w:val="0002689F"/>
    <w:rsid w:val="00053C42"/>
    <w:rsid w:val="000710CA"/>
    <w:rsid w:val="000B76B7"/>
    <w:rsid w:val="00200B6F"/>
    <w:rsid w:val="00201082"/>
    <w:rsid w:val="00212342"/>
    <w:rsid w:val="00225481"/>
    <w:rsid w:val="0022589F"/>
    <w:rsid w:val="00236D42"/>
    <w:rsid w:val="00260895"/>
    <w:rsid w:val="00271D30"/>
    <w:rsid w:val="002B4237"/>
    <w:rsid w:val="002C0A2F"/>
    <w:rsid w:val="003C1CDD"/>
    <w:rsid w:val="003C2E63"/>
    <w:rsid w:val="003C791E"/>
    <w:rsid w:val="003F46EA"/>
    <w:rsid w:val="0044574A"/>
    <w:rsid w:val="00454BF1"/>
    <w:rsid w:val="00460A38"/>
    <w:rsid w:val="004E3CDC"/>
    <w:rsid w:val="00523C6A"/>
    <w:rsid w:val="0057766A"/>
    <w:rsid w:val="006223C9"/>
    <w:rsid w:val="00667E60"/>
    <w:rsid w:val="006C329D"/>
    <w:rsid w:val="0076792A"/>
    <w:rsid w:val="0077091C"/>
    <w:rsid w:val="007A4CEA"/>
    <w:rsid w:val="007B1FB5"/>
    <w:rsid w:val="007D2E45"/>
    <w:rsid w:val="007D73C8"/>
    <w:rsid w:val="007E5F4D"/>
    <w:rsid w:val="00816971"/>
    <w:rsid w:val="008226CD"/>
    <w:rsid w:val="00886244"/>
    <w:rsid w:val="008C57A9"/>
    <w:rsid w:val="008D252B"/>
    <w:rsid w:val="008F48C0"/>
    <w:rsid w:val="00943B72"/>
    <w:rsid w:val="00956F6A"/>
    <w:rsid w:val="009776F9"/>
    <w:rsid w:val="00986E6B"/>
    <w:rsid w:val="009D164E"/>
    <w:rsid w:val="009F002F"/>
    <w:rsid w:val="009F5703"/>
    <w:rsid w:val="00A0264B"/>
    <w:rsid w:val="00A10CEE"/>
    <w:rsid w:val="00AC220E"/>
    <w:rsid w:val="00AD2197"/>
    <w:rsid w:val="00B16105"/>
    <w:rsid w:val="00B175D9"/>
    <w:rsid w:val="00B812D9"/>
    <w:rsid w:val="00BA4E7B"/>
    <w:rsid w:val="00BC47A8"/>
    <w:rsid w:val="00BC74FE"/>
    <w:rsid w:val="00BD3EFB"/>
    <w:rsid w:val="00BD692F"/>
    <w:rsid w:val="00C57304"/>
    <w:rsid w:val="00C600AA"/>
    <w:rsid w:val="00C60210"/>
    <w:rsid w:val="00C7443A"/>
    <w:rsid w:val="00CB1CEF"/>
    <w:rsid w:val="00CF3D42"/>
    <w:rsid w:val="00D00BFA"/>
    <w:rsid w:val="00D476B9"/>
    <w:rsid w:val="00D92AAB"/>
    <w:rsid w:val="00DF46AE"/>
    <w:rsid w:val="00E56FD8"/>
    <w:rsid w:val="00E76FFE"/>
    <w:rsid w:val="00F24FD4"/>
    <w:rsid w:val="00F3149D"/>
    <w:rsid w:val="00F95973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ECF80-D2CC-4DDD-A20A-670B47FB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44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C2E6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mbria" w:eastAsia="Times New Roman" w:hAnsi="Cambria"/>
      <w:sz w:val="24"/>
      <w:szCs w:val="24"/>
    </w:rPr>
  </w:style>
  <w:style w:type="paragraph" w:styleId="KeinLeerraum">
    <w:name w:val="No Spacing"/>
    <w:uiPriority w:val="1"/>
    <w:qFormat/>
    <w:rsid w:val="003C791E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3C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223C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223C9"/>
    <w:rPr>
      <w:lang w:eastAsia="en-US"/>
    </w:rPr>
  </w:style>
  <w:style w:type="character" w:styleId="Funotenzeichen">
    <w:name w:val="footnote reference"/>
    <w:uiPriority w:val="99"/>
    <w:semiHidden/>
    <w:unhideWhenUsed/>
    <w:rsid w:val="00622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7B5D-9504-4B45-B068-5012A9FA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huberg</dc:creator>
  <cp:lastModifiedBy>Ostgen, Stephan (HMdIS)</cp:lastModifiedBy>
  <cp:revision>5</cp:revision>
  <cp:lastPrinted>2012-12-19T14:56:00Z</cp:lastPrinted>
  <dcterms:created xsi:type="dcterms:W3CDTF">2017-05-23T08:31:00Z</dcterms:created>
  <dcterms:modified xsi:type="dcterms:W3CDTF">2021-10-04T16:20:00Z</dcterms:modified>
</cp:coreProperties>
</file>